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8EE" w:rsidRPr="00FB68EE" w:rsidRDefault="00FB68EE" w:rsidP="00FB68EE">
      <w:pPr>
        <w:tabs>
          <w:tab w:val="left" w:pos="993"/>
          <w:tab w:val="left" w:pos="1134"/>
        </w:tabs>
        <w:autoSpaceDE w:val="0"/>
        <w:autoSpaceDN w:val="0"/>
        <w:adjustRightInd w:val="0"/>
        <w:spacing w:after="0"/>
        <w:ind w:left="2869"/>
        <w:jc w:val="right"/>
        <w:rPr>
          <w:rFonts w:ascii="Times New Roman" w:hAnsi="Times New Roman" w:cs="Times New Roman"/>
          <w:color w:val="000000" w:themeColor="text1"/>
          <w:sz w:val="24"/>
          <w:szCs w:val="24"/>
          <w:lang w:val="ru-RU"/>
        </w:rPr>
      </w:pPr>
    </w:p>
    <w:p w:rsidR="00FB68EE" w:rsidRPr="00FB68EE" w:rsidRDefault="00FB68EE" w:rsidP="00FB68EE">
      <w:pPr>
        <w:tabs>
          <w:tab w:val="left" w:pos="993"/>
          <w:tab w:val="left" w:pos="1134"/>
        </w:tabs>
        <w:autoSpaceDE w:val="0"/>
        <w:autoSpaceDN w:val="0"/>
        <w:adjustRightInd w:val="0"/>
        <w:spacing w:after="0"/>
        <w:ind w:left="2869"/>
        <w:jc w:val="right"/>
        <w:rPr>
          <w:rFonts w:ascii="Times New Roman" w:hAnsi="Times New Roman" w:cs="Times New Roman"/>
          <w:color w:val="000000" w:themeColor="text1"/>
          <w:sz w:val="24"/>
          <w:szCs w:val="24"/>
          <w:lang w:val="ru-RU"/>
        </w:rPr>
      </w:pPr>
      <w:r w:rsidRPr="00FB68EE">
        <w:rPr>
          <w:rFonts w:ascii="Times New Roman" w:hAnsi="Times New Roman" w:cs="Times New Roman"/>
          <w:color w:val="000000" w:themeColor="text1"/>
          <w:sz w:val="24"/>
          <w:szCs w:val="24"/>
          <w:lang w:val="ru-RU"/>
        </w:rPr>
        <w:t>Приложение № 9</w:t>
      </w:r>
    </w:p>
    <w:p w:rsidR="00FB68EE" w:rsidRPr="00FB68EE" w:rsidRDefault="00FB68EE" w:rsidP="00FB68EE">
      <w:pPr>
        <w:tabs>
          <w:tab w:val="left" w:pos="993"/>
          <w:tab w:val="left" w:pos="1134"/>
        </w:tabs>
        <w:spacing w:after="0"/>
        <w:ind w:left="2869"/>
        <w:jc w:val="right"/>
        <w:rPr>
          <w:rFonts w:ascii="Times New Roman" w:hAnsi="Times New Roman" w:cs="Times New Roman"/>
          <w:color w:val="000000" w:themeColor="text1"/>
          <w:sz w:val="24"/>
          <w:szCs w:val="24"/>
          <w:lang w:val="ru-RU"/>
        </w:rPr>
      </w:pPr>
      <w:r w:rsidRPr="00FB68EE">
        <w:rPr>
          <w:rFonts w:ascii="Times New Roman" w:hAnsi="Times New Roman" w:cs="Times New Roman"/>
          <w:color w:val="000000" w:themeColor="text1"/>
          <w:sz w:val="24"/>
          <w:szCs w:val="24"/>
          <w:lang w:val="ru-RU"/>
        </w:rPr>
        <w:t>к Положению об установлении условий</w:t>
      </w:r>
    </w:p>
    <w:p w:rsidR="00FB68EE" w:rsidRPr="00FB68EE" w:rsidRDefault="00FB68EE" w:rsidP="00FB68EE">
      <w:pPr>
        <w:tabs>
          <w:tab w:val="left" w:pos="993"/>
          <w:tab w:val="left" w:pos="1134"/>
        </w:tabs>
        <w:spacing w:after="0"/>
        <w:ind w:left="2869"/>
        <w:jc w:val="right"/>
        <w:rPr>
          <w:rFonts w:ascii="Times New Roman" w:hAnsi="Times New Roman" w:cs="Times New Roman"/>
          <w:sz w:val="24"/>
          <w:szCs w:val="24"/>
          <w:lang w:val="ru-RU"/>
        </w:rPr>
      </w:pPr>
      <w:r w:rsidRPr="00FB68EE">
        <w:rPr>
          <w:rFonts w:ascii="Times New Roman" w:hAnsi="Times New Roman" w:cs="Times New Roman"/>
          <w:color w:val="000000" w:themeColor="text1"/>
          <w:sz w:val="24"/>
          <w:szCs w:val="24"/>
          <w:lang w:val="ru-RU"/>
        </w:rPr>
        <w:t xml:space="preserve">размещения на рынке </w:t>
      </w:r>
      <w:r w:rsidRPr="00FB68EE">
        <w:rPr>
          <w:rFonts w:ascii="Times New Roman" w:hAnsi="Times New Roman" w:cs="Times New Roman"/>
          <w:sz w:val="24"/>
          <w:szCs w:val="24"/>
          <w:lang w:val="ru-RU"/>
        </w:rPr>
        <w:t>активных</w:t>
      </w:r>
    </w:p>
    <w:p w:rsidR="00FB68EE" w:rsidRPr="00FB68EE" w:rsidRDefault="00FB68EE" w:rsidP="00FB68EE">
      <w:pPr>
        <w:tabs>
          <w:tab w:val="left" w:pos="993"/>
          <w:tab w:val="left" w:pos="1134"/>
        </w:tabs>
        <w:spacing w:after="0"/>
        <w:ind w:left="2869"/>
        <w:jc w:val="right"/>
        <w:rPr>
          <w:rFonts w:ascii="Times New Roman" w:hAnsi="Times New Roman" w:cs="Times New Roman"/>
          <w:color w:val="000000" w:themeColor="text1"/>
          <w:sz w:val="24"/>
          <w:szCs w:val="24"/>
          <w:lang w:val="ru-RU"/>
        </w:rPr>
      </w:pPr>
      <w:r w:rsidRPr="00FB68EE">
        <w:rPr>
          <w:rFonts w:ascii="Times New Roman" w:hAnsi="Times New Roman" w:cs="Times New Roman"/>
          <w:sz w:val="24"/>
          <w:szCs w:val="24"/>
          <w:lang w:val="ru-RU"/>
        </w:rPr>
        <w:t xml:space="preserve"> имплантируемых</w:t>
      </w:r>
      <w:r w:rsidRPr="00FB68EE">
        <w:rPr>
          <w:rFonts w:ascii="Times New Roman" w:hAnsi="Times New Roman" w:cs="Times New Roman"/>
          <w:color w:val="000000" w:themeColor="text1"/>
          <w:sz w:val="24"/>
          <w:szCs w:val="24"/>
          <w:lang w:val="ru-RU"/>
        </w:rPr>
        <w:t>медицинских изделий</w:t>
      </w:r>
    </w:p>
    <w:p w:rsidR="00FB68EE" w:rsidRPr="00FB68EE" w:rsidRDefault="00FB68EE" w:rsidP="00FB68EE">
      <w:pPr>
        <w:tabs>
          <w:tab w:val="left" w:pos="993"/>
          <w:tab w:val="left" w:pos="1134"/>
        </w:tabs>
        <w:spacing w:after="0"/>
        <w:jc w:val="both"/>
        <w:rPr>
          <w:rFonts w:ascii="Times New Roman" w:hAnsi="Times New Roman" w:cs="Times New Roman"/>
          <w:i/>
          <w:color w:val="000000" w:themeColor="text1"/>
          <w:sz w:val="24"/>
          <w:szCs w:val="24"/>
          <w:lang w:val="ru-RU"/>
        </w:rPr>
      </w:pPr>
    </w:p>
    <w:p w:rsidR="00FB68EE" w:rsidRPr="00FB68EE" w:rsidRDefault="00FB68EE" w:rsidP="00FB68EE">
      <w:pPr>
        <w:autoSpaceDE w:val="0"/>
        <w:autoSpaceDN w:val="0"/>
        <w:adjustRightInd w:val="0"/>
        <w:jc w:val="center"/>
        <w:rPr>
          <w:rFonts w:ascii="Times New Roman" w:hAnsi="Times New Roman" w:cs="Times New Roman"/>
          <w:b/>
          <w:iCs/>
          <w:color w:val="000000" w:themeColor="text1"/>
          <w:sz w:val="24"/>
          <w:szCs w:val="24"/>
          <w:lang w:val="ru-RU"/>
        </w:rPr>
      </w:pPr>
      <w:r w:rsidRPr="00FB68EE">
        <w:rPr>
          <w:rFonts w:ascii="Times New Roman" w:hAnsi="Times New Roman" w:cs="Times New Roman"/>
          <w:b/>
          <w:iCs/>
          <w:color w:val="000000" w:themeColor="text1"/>
          <w:sz w:val="24"/>
          <w:szCs w:val="24"/>
          <w:lang w:val="ru-RU"/>
        </w:rPr>
        <w:t>МАРКА СООТВЕТСТВИЯ</w:t>
      </w:r>
    </w:p>
    <w:p w:rsidR="00FB68EE" w:rsidRPr="00FB68EE" w:rsidRDefault="00FB68EE" w:rsidP="00FB68EE">
      <w:pPr>
        <w:tabs>
          <w:tab w:val="left" w:pos="993"/>
          <w:tab w:val="left" w:pos="1134"/>
        </w:tabs>
        <w:autoSpaceDE w:val="0"/>
        <w:autoSpaceDN w:val="0"/>
        <w:adjustRightInd w:val="0"/>
        <w:jc w:val="both"/>
        <w:rPr>
          <w:rFonts w:ascii="Times New Roman" w:hAnsi="Times New Roman" w:cs="Times New Roman"/>
          <w:b/>
          <w:iCs/>
          <w:color w:val="000000" w:themeColor="text1"/>
          <w:sz w:val="24"/>
          <w:szCs w:val="24"/>
          <w:lang w:val="ru-RU"/>
        </w:rPr>
      </w:pPr>
    </w:p>
    <w:p w:rsidR="00FB68EE" w:rsidRPr="00FB68EE" w:rsidRDefault="00FB68EE" w:rsidP="00FB68EE">
      <w:pPr>
        <w:pStyle w:val="ListParagraph"/>
        <w:numPr>
          <w:ilvl w:val="0"/>
          <w:numId w:val="1"/>
        </w:numPr>
        <w:tabs>
          <w:tab w:val="left" w:pos="993"/>
          <w:tab w:val="left" w:pos="1134"/>
        </w:tabs>
        <w:autoSpaceDE w:val="0"/>
        <w:autoSpaceDN w:val="0"/>
        <w:adjustRightInd w:val="0"/>
        <w:ind w:left="0" w:firstLine="709"/>
        <w:rPr>
          <w:color w:val="000000" w:themeColor="text1"/>
          <w:sz w:val="24"/>
          <w:szCs w:val="24"/>
          <w:lang w:val="ru-RU"/>
        </w:rPr>
      </w:pPr>
      <w:r w:rsidRPr="00FB68EE">
        <w:rPr>
          <w:color w:val="000000" w:themeColor="text1"/>
          <w:sz w:val="24"/>
          <w:szCs w:val="24"/>
          <w:lang w:val="ru-RU"/>
        </w:rPr>
        <w:t>Национальныямарка соответствия SM применяется к промышленной продукции (в дальнейшем– продукции) из регламентированной области и указывает, что производитель или его представитель с местонахождением в Республике Молдова (в дальнейшем - производитель или его представитель), который наносит или несет ответственность за нанесение данноймарки, проверил соответствие продукции всем основным требованиям применяемых технических регламентов и что данная продукция подвергалась процедурам оценки соответствия, предусмотренным  соответствующим техническим регламентом.</w:t>
      </w:r>
    </w:p>
    <w:p w:rsidR="00FB68EE" w:rsidRPr="00FB68EE" w:rsidRDefault="00FB68EE" w:rsidP="00FB68EE">
      <w:pPr>
        <w:tabs>
          <w:tab w:val="left" w:pos="993"/>
          <w:tab w:val="left" w:pos="1134"/>
        </w:tabs>
        <w:autoSpaceDE w:val="0"/>
        <w:autoSpaceDN w:val="0"/>
        <w:adjustRightInd w:val="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tab/>
      </w:r>
      <w:r w:rsidRPr="00FB68EE">
        <w:rPr>
          <w:rFonts w:ascii="Times New Roman" w:hAnsi="Times New Roman" w:cs="Times New Roman"/>
          <w:color w:val="000000" w:themeColor="text1"/>
          <w:sz w:val="24"/>
          <w:szCs w:val="24"/>
          <w:lang w:val="ru-RU"/>
        </w:rPr>
        <w:t>2. Для продукции, на которую распространяются несколько технических регламентов, предусматривающих нанесение национальноймарки соответствия SM, маркировка этим знаком указывает на соответствие данной продукции положениям всех применяемых технических регламентов.</w:t>
      </w:r>
    </w:p>
    <w:p w:rsidR="00FB68EE" w:rsidRPr="00FB68EE" w:rsidRDefault="00FB68EE" w:rsidP="00FB68EE">
      <w:pPr>
        <w:tabs>
          <w:tab w:val="left" w:pos="993"/>
          <w:tab w:val="left" w:pos="1134"/>
        </w:tabs>
        <w:autoSpaceDE w:val="0"/>
        <w:autoSpaceDN w:val="0"/>
        <w:adjustRightInd w:val="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tab/>
      </w:r>
      <w:r w:rsidRPr="00FB68EE">
        <w:rPr>
          <w:rFonts w:ascii="Times New Roman" w:hAnsi="Times New Roman" w:cs="Times New Roman"/>
          <w:color w:val="000000" w:themeColor="text1"/>
          <w:sz w:val="24"/>
          <w:szCs w:val="24"/>
          <w:lang w:val="ru-RU"/>
        </w:rPr>
        <w:t>3. Национальный знак соответствия SM состоит из букв  S и M, которые означают соответственно «безопасность по основным требованиям» и «</w:t>
      </w:r>
      <w:r w:rsidRPr="00FB68EE">
        <w:rPr>
          <w:rFonts w:ascii="Times New Roman" w:hAnsi="Times New Roman" w:cs="Times New Roman"/>
          <w:color w:val="000000" w:themeColor="text1"/>
          <w:sz w:val="24"/>
          <w:szCs w:val="24"/>
        </w:rPr>
        <w:t>Moldova</w:t>
      </w:r>
      <w:r w:rsidRPr="00FB68EE">
        <w:rPr>
          <w:rFonts w:ascii="Times New Roman" w:hAnsi="Times New Roman" w:cs="Times New Roman"/>
          <w:color w:val="000000" w:themeColor="text1"/>
          <w:sz w:val="24"/>
          <w:szCs w:val="24"/>
          <w:lang w:val="ru-RU"/>
        </w:rPr>
        <w:t>». Графический символ национального знака соответствия SM представлен на рисунке 1.</w:t>
      </w:r>
    </w:p>
    <w:p w:rsidR="00FB68EE" w:rsidRPr="00FB68EE" w:rsidRDefault="00FB68EE" w:rsidP="00FB68EE">
      <w:pPr>
        <w:tabs>
          <w:tab w:val="left" w:pos="993"/>
          <w:tab w:val="left" w:pos="1134"/>
        </w:tabs>
        <w:autoSpaceDE w:val="0"/>
        <w:autoSpaceDN w:val="0"/>
        <w:adjustRightInd w:val="0"/>
        <w:jc w:val="both"/>
        <w:rPr>
          <w:rFonts w:ascii="Times New Roman" w:hAnsi="Times New Roman" w:cs="Times New Roman"/>
          <w:color w:val="000000" w:themeColor="text1"/>
          <w:sz w:val="24"/>
          <w:szCs w:val="24"/>
          <w:lang w:val="ru-RU"/>
        </w:rPr>
      </w:pPr>
    </w:p>
    <w:p w:rsidR="00FB68EE" w:rsidRPr="00FB68EE" w:rsidRDefault="00FB68EE" w:rsidP="00FB68EE">
      <w:pPr>
        <w:tabs>
          <w:tab w:val="left" w:pos="993"/>
          <w:tab w:val="left" w:pos="1134"/>
        </w:tabs>
        <w:autoSpaceDE w:val="0"/>
        <w:autoSpaceDN w:val="0"/>
        <w:adjustRightInd w:val="0"/>
        <w:ind w:firstLine="3261"/>
        <w:jc w:val="both"/>
        <w:rPr>
          <w:rFonts w:ascii="Times New Roman" w:hAnsi="Times New Roman" w:cs="Times New Roman"/>
          <w:color w:val="000000" w:themeColor="text1"/>
          <w:sz w:val="24"/>
          <w:szCs w:val="24"/>
          <w:lang w:val="ru-RU"/>
        </w:rPr>
      </w:pPr>
      <w:r w:rsidRPr="00FB68EE">
        <w:rPr>
          <w:rFonts w:ascii="Times New Roman" w:hAnsi="Times New Roman" w:cs="Times New Roman"/>
          <w:noProof/>
          <w:color w:val="000000" w:themeColor="text1"/>
          <w:sz w:val="24"/>
          <w:szCs w:val="24"/>
        </w:rPr>
        <w:drawing>
          <wp:inline distT="0" distB="0" distL="0" distR="0">
            <wp:extent cx="1333500" cy="1200150"/>
            <wp:effectExtent l="0" t="0" r="0" b="0"/>
            <wp:docPr id="3" name="Picture 2" descr="http://lex.justice.md/UserFiles/Image/2007/mo32-35ru/1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UserFiles/Image/2007/mo32-35ru/1s.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1200150"/>
                    </a:xfrm>
                    <a:prstGeom prst="rect">
                      <a:avLst/>
                    </a:prstGeom>
                    <a:noFill/>
                    <a:ln>
                      <a:noFill/>
                    </a:ln>
                  </pic:spPr>
                </pic:pic>
              </a:graphicData>
            </a:graphic>
          </wp:inline>
        </w:drawing>
      </w:r>
    </w:p>
    <w:p w:rsidR="00FB68EE" w:rsidRPr="00FB68EE" w:rsidRDefault="00FB68EE" w:rsidP="00FB68EE">
      <w:pPr>
        <w:tabs>
          <w:tab w:val="left" w:pos="993"/>
          <w:tab w:val="left" w:pos="1134"/>
        </w:tabs>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FB68EE">
        <w:rPr>
          <w:rFonts w:ascii="Times New Roman" w:hAnsi="Times New Roman" w:cs="Times New Roman"/>
          <w:color w:val="000000" w:themeColor="text1"/>
          <w:sz w:val="24"/>
          <w:szCs w:val="24"/>
          <w:lang w:val="ru-RU"/>
        </w:rPr>
        <w:t>Рисунок 1. Графическое изображение национальноймарки</w:t>
      </w:r>
      <w:r>
        <w:rPr>
          <w:rFonts w:ascii="Times New Roman" w:hAnsi="Times New Roman" w:cs="Times New Roman"/>
          <w:color w:val="000000" w:themeColor="text1"/>
          <w:sz w:val="24"/>
          <w:szCs w:val="24"/>
          <w:lang w:val="ru-RU"/>
        </w:rPr>
        <w:t xml:space="preserve"> соответствия SM</w:t>
      </w:r>
    </w:p>
    <w:p w:rsidR="00FB68EE" w:rsidRPr="00FB68EE" w:rsidRDefault="00FB68EE" w:rsidP="00FB68EE">
      <w:pPr>
        <w:tabs>
          <w:tab w:val="left" w:pos="993"/>
          <w:tab w:val="left" w:pos="1134"/>
        </w:tabs>
        <w:autoSpaceDE w:val="0"/>
        <w:autoSpaceDN w:val="0"/>
        <w:adjustRightInd w:val="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tab/>
      </w:r>
      <w:r w:rsidRPr="00FB68EE">
        <w:rPr>
          <w:rFonts w:ascii="Times New Roman" w:hAnsi="Times New Roman" w:cs="Times New Roman"/>
          <w:color w:val="000000" w:themeColor="text1"/>
          <w:sz w:val="24"/>
          <w:szCs w:val="24"/>
          <w:lang w:val="ru-RU"/>
        </w:rPr>
        <w:t>4. Пропорции национальноймарки соответствия SM должны точно соответствовать рисунку 2.</w:t>
      </w:r>
    </w:p>
    <w:p w:rsidR="00FB68EE" w:rsidRPr="00FB68EE" w:rsidRDefault="00FB68EE" w:rsidP="00FB68EE">
      <w:pPr>
        <w:tabs>
          <w:tab w:val="left" w:pos="993"/>
          <w:tab w:val="left" w:pos="1134"/>
        </w:tabs>
        <w:autoSpaceDE w:val="0"/>
        <w:autoSpaceDN w:val="0"/>
        <w:adjustRightInd w:val="0"/>
        <w:jc w:val="both"/>
        <w:rPr>
          <w:rFonts w:ascii="Times New Roman" w:hAnsi="Times New Roman" w:cs="Times New Roman"/>
          <w:color w:val="000000" w:themeColor="text1"/>
          <w:sz w:val="24"/>
          <w:szCs w:val="24"/>
          <w:lang w:val="ru-RU"/>
        </w:rPr>
      </w:pPr>
    </w:p>
    <w:p w:rsidR="00FB68EE" w:rsidRPr="00FB68EE" w:rsidRDefault="00FB68EE" w:rsidP="00FB68EE">
      <w:pPr>
        <w:tabs>
          <w:tab w:val="left" w:pos="993"/>
          <w:tab w:val="left" w:pos="1134"/>
        </w:tabs>
        <w:autoSpaceDE w:val="0"/>
        <w:autoSpaceDN w:val="0"/>
        <w:adjustRightInd w:val="0"/>
        <w:jc w:val="both"/>
        <w:rPr>
          <w:rFonts w:ascii="Times New Roman" w:hAnsi="Times New Roman" w:cs="Times New Roman"/>
          <w:color w:val="000000" w:themeColor="text1"/>
          <w:sz w:val="24"/>
          <w:szCs w:val="24"/>
          <w:lang w:val="ru-RU"/>
        </w:rPr>
      </w:pPr>
    </w:p>
    <w:p w:rsidR="00FB68EE" w:rsidRPr="00FB68EE" w:rsidRDefault="00FB68EE" w:rsidP="00FB68EE">
      <w:pPr>
        <w:tabs>
          <w:tab w:val="left" w:pos="993"/>
          <w:tab w:val="left" w:pos="1134"/>
        </w:tabs>
        <w:autoSpaceDE w:val="0"/>
        <w:autoSpaceDN w:val="0"/>
        <w:adjustRightInd w:val="0"/>
        <w:jc w:val="both"/>
        <w:rPr>
          <w:rFonts w:ascii="Times New Roman" w:hAnsi="Times New Roman" w:cs="Times New Roman"/>
          <w:color w:val="000000" w:themeColor="text1"/>
          <w:sz w:val="24"/>
          <w:szCs w:val="24"/>
          <w:lang w:val="ru-RU"/>
        </w:rPr>
      </w:pPr>
      <w:bookmarkStart w:id="0" w:name="_GoBack"/>
      <w:bookmarkEnd w:id="0"/>
    </w:p>
    <w:p w:rsidR="00FB68EE" w:rsidRPr="00FB68EE" w:rsidRDefault="00FB68EE" w:rsidP="00FB68EE">
      <w:pPr>
        <w:tabs>
          <w:tab w:val="left" w:pos="993"/>
          <w:tab w:val="left" w:pos="1134"/>
        </w:tabs>
        <w:autoSpaceDE w:val="0"/>
        <w:autoSpaceDN w:val="0"/>
        <w:adjustRightInd w:val="0"/>
        <w:jc w:val="both"/>
        <w:rPr>
          <w:rFonts w:ascii="Times New Roman" w:hAnsi="Times New Roman" w:cs="Times New Roman"/>
          <w:color w:val="000000" w:themeColor="text1"/>
          <w:sz w:val="24"/>
          <w:szCs w:val="24"/>
          <w:lang w:val="ru-RU"/>
        </w:rPr>
      </w:pPr>
    </w:p>
    <w:p w:rsidR="00FB68EE" w:rsidRPr="00FB68EE" w:rsidRDefault="00FB68EE" w:rsidP="00FB68EE">
      <w:pPr>
        <w:tabs>
          <w:tab w:val="left" w:pos="993"/>
          <w:tab w:val="left" w:pos="1134"/>
        </w:tabs>
        <w:autoSpaceDE w:val="0"/>
        <w:autoSpaceDN w:val="0"/>
        <w:adjustRightInd w:val="0"/>
        <w:jc w:val="both"/>
        <w:rPr>
          <w:rFonts w:ascii="Times New Roman" w:hAnsi="Times New Roman" w:cs="Times New Roman"/>
          <w:color w:val="000000" w:themeColor="text1"/>
          <w:sz w:val="24"/>
          <w:szCs w:val="24"/>
          <w:lang w:val="ru-RU"/>
        </w:rPr>
      </w:pPr>
    </w:p>
    <w:p w:rsidR="00FB68EE" w:rsidRPr="00FB68EE" w:rsidRDefault="00FB68EE" w:rsidP="00FB68EE">
      <w:pPr>
        <w:tabs>
          <w:tab w:val="left" w:pos="993"/>
          <w:tab w:val="left" w:pos="1134"/>
        </w:tabs>
        <w:autoSpaceDE w:val="0"/>
        <w:autoSpaceDN w:val="0"/>
        <w:adjustRightInd w:val="0"/>
        <w:ind w:firstLine="567"/>
        <w:jc w:val="both"/>
        <w:rPr>
          <w:rFonts w:ascii="Times New Roman" w:hAnsi="Times New Roman" w:cs="Times New Roman"/>
          <w:color w:val="000000" w:themeColor="text1"/>
          <w:sz w:val="24"/>
          <w:szCs w:val="24"/>
          <w:lang w:val="ru-RU"/>
        </w:rPr>
      </w:pPr>
      <w:r w:rsidRPr="00FB68EE">
        <w:rPr>
          <w:rFonts w:ascii="Times New Roman" w:hAnsi="Times New Roman" w:cs="Times New Roman"/>
          <w:noProof/>
          <w:color w:val="000000" w:themeColor="text1"/>
          <w:sz w:val="24"/>
          <w:szCs w:val="24"/>
        </w:rPr>
        <w:drawing>
          <wp:inline distT="0" distB="0" distL="0" distR="0">
            <wp:extent cx="5646996" cy="3343455"/>
            <wp:effectExtent l="19050" t="0" r="0" b="0"/>
            <wp:docPr id="4" name="Picture 1" descr="http://lex.justice.md/UserFiles/Image/2007/mo32-35md/des.2_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x.justice.md/UserFiles/Image/2007/mo32-35md/des.2_96.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6995"/>
                    <a:stretch>
                      <a:fillRect/>
                    </a:stretch>
                  </pic:blipFill>
                  <pic:spPr bwMode="auto">
                    <a:xfrm>
                      <a:off x="0" y="0"/>
                      <a:ext cx="5646996" cy="3343455"/>
                    </a:xfrm>
                    <a:prstGeom prst="rect">
                      <a:avLst/>
                    </a:prstGeom>
                    <a:noFill/>
                    <a:ln>
                      <a:noFill/>
                    </a:ln>
                  </pic:spPr>
                </pic:pic>
              </a:graphicData>
            </a:graphic>
          </wp:inline>
        </w:drawing>
      </w:r>
    </w:p>
    <w:p w:rsidR="00FB68EE" w:rsidRPr="00FB68EE" w:rsidRDefault="00FB68EE" w:rsidP="00FB68EE">
      <w:pPr>
        <w:tabs>
          <w:tab w:val="left" w:pos="993"/>
        </w:tabs>
        <w:autoSpaceDE w:val="0"/>
        <w:autoSpaceDN w:val="0"/>
        <w:adjustRightInd w:val="0"/>
        <w:spacing w:before="120" w:afterLines="60"/>
        <w:ind w:firstLine="567"/>
        <w:jc w:val="both"/>
        <w:rPr>
          <w:rFonts w:ascii="Times New Roman" w:hAnsi="Times New Roman" w:cs="Times New Roman"/>
          <w:color w:val="000000" w:themeColor="text1"/>
          <w:sz w:val="24"/>
          <w:szCs w:val="24"/>
          <w:lang w:val="ru-RU"/>
        </w:rPr>
      </w:pPr>
      <w:r w:rsidRPr="00FB68EE">
        <w:rPr>
          <w:rFonts w:ascii="Times New Roman" w:hAnsi="Times New Roman" w:cs="Times New Roman"/>
          <w:color w:val="000000" w:themeColor="text1"/>
          <w:sz w:val="24"/>
          <w:szCs w:val="24"/>
          <w:lang w:val="ru-RU"/>
        </w:rPr>
        <w:t>Рисунок 2. Пропорции национальноймарки соответствия SM</w:t>
      </w:r>
    </w:p>
    <w:p w:rsidR="00FB68EE" w:rsidRPr="00FB68EE" w:rsidRDefault="00FB68EE" w:rsidP="00FB68EE">
      <w:pPr>
        <w:tabs>
          <w:tab w:val="left" w:pos="993"/>
          <w:tab w:val="left" w:pos="1134"/>
        </w:tabs>
        <w:autoSpaceDE w:val="0"/>
        <w:autoSpaceDN w:val="0"/>
        <w:adjustRightInd w:val="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tab/>
      </w:r>
      <w:r w:rsidRPr="00FB68EE">
        <w:rPr>
          <w:rFonts w:ascii="Times New Roman" w:hAnsi="Times New Roman" w:cs="Times New Roman"/>
          <w:color w:val="000000" w:themeColor="text1"/>
          <w:sz w:val="24"/>
          <w:szCs w:val="24"/>
          <w:lang w:val="ru-RU"/>
        </w:rPr>
        <w:t>5. Если национальнуюмаркусоответствия SM нужно увеличить или уменьшить, необходимо соблюдать все пропорции, установленные в рисунке 2.</w:t>
      </w:r>
    </w:p>
    <w:p w:rsidR="00FB68EE" w:rsidRPr="00FB68EE" w:rsidRDefault="00FB68EE" w:rsidP="00FB68EE">
      <w:pPr>
        <w:tabs>
          <w:tab w:val="left" w:pos="993"/>
          <w:tab w:val="left" w:pos="1134"/>
        </w:tabs>
        <w:autoSpaceDE w:val="0"/>
        <w:autoSpaceDN w:val="0"/>
        <w:adjustRightInd w:val="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tab/>
      </w:r>
      <w:r w:rsidRPr="00FB68EE">
        <w:rPr>
          <w:rFonts w:ascii="Times New Roman" w:hAnsi="Times New Roman" w:cs="Times New Roman"/>
          <w:color w:val="000000" w:themeColor="text1"/>
          <w:sz w:val="24"/>
          <w:szCs w:val="24"/>
          <w:lang w:val="ru-RU"/>
        </w:rPr>
        <w:t>6. Национальнаямарка соответствия SM может быть выполнена в черно-белом или в одном цвете, контрастном фону.</w:t>
      </w:r>
    </w:p>
    <w:p w:rsidR="00FB68EE" w:rsidRPr="00FB68EE" w:rsidRDefault="00FB68EE" w:rsidP="00FB68EE">
      <w:pPr>
        <w:tabs>
          <w:tab w:val="left" w:pos="993"/>
          <w:tab w:val="left" w:pos="1134"/>
        </w:tabs>
        <w:autoSpaceDE w:val="0"/>
        <w:autoSpaceDN w:val="0"/>
        <w:adjustRightInd w:val="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tab/>
      </w:r>
      <w:r w:rsidRPr="00FB68EE">
        <w:rPr>
          <w:rFonts w:ascii="Times New Roman" w:hAnsi="Times New Roman" w:cs="Times New Roman"/>
          <w:color w:val="000000" w:themeColor="text1"/>
          <w:sz w:val="24"/>
          <w:szCs w:val="24"/>
          <w:lang w:val="ru-RU"/>
        </w:rPr>
        <w:t>7. Любая продукция из регламентированной области сопровождается национальноймарки соответствия SM.</w:t>
      </w:r>
    </w:p>
    <w:p w:rsidR="00FB68EE" w:rsidRPr="00FB68EE" w:rsidRDefault="00FB68EE" w:rsidP="00FB68EE">
      <w:pPr>
        <w:tabs>
          <w:tab w:val="left" w:pos="993"/>
          <w:tab w:val="left" w:pos="1134"/>
        </w:tabs>
        <w:autoSpaceDE w:val="0"/>
        <w:autoSpaceDN w:val="0"/>
        <w:adjustRightInd w:val="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tab/>
      </w:r>
      <w:r w:rsidRPr="00FB68EE">
        <w:rPr>
          <w:rFonts w:ascii="Times New Roman" w:hAnsi="Times New Roman" w:cs="Times New Roman"/>
          <w:color w:val="000000" w:themeColor="text1"/>
          <w:sz w:val="24"/>
          <w:szCs w:val="24"/>
          <w:lang w:val="ru-RU"/>
        </w:rPr>
        <w:t>8. Национальнаямарка соответствия SM наносится любым технологическим  способом, обеспечивающим четкость изображения и устойчивость к истиранию в течение всего периода использования продукции.</w:t>
      </w:r>
    </w:p>
    <w:p w:rsidR="00FB68EE" w:rsidRPr="00FB68EE" w:rsidRDefault="00FB68EE" w:rsidP="00FB68EE">
      <w:pPr>
        <w:tabs>
          <w:tab w:val="left" w:pos="993"/>
          <w:tab w:val="left" w:pos="1134"/>
        </w:tabs>
        <w:autoSpaceDE w:val="0"/>
        <w:autoSpaceDN w:val="0"/>
        <w:adjustRightInd w:val="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tab/>
      </w:r>
      <w:r w:rsidRPr="00FB68EE">
        <w:rPr>
          <w:rFonts w:ascii="Times New Roman" w:hAnsi="Times New Roman" w:cs="Times New Roman"/>
          <w:color w:val="000000" w:themeColor="text1"/>
          <w:sz w:val="24"/>
          <w:szCs w:val="24"/>
          <w:lang w:val="ru-RU"/>
        </w:rPr>
        <w:t>9. Национальная марка соответствия SM сопровождается идентификационным номером уполномоченного органа по оценке соответствия, осуществляющего оценку в соответствии с требованиями применяемого технического регламента. Идентификационный номер уполномоченного органа по оценке соответствия обозначается на расстоянии, равном 5% высоты знака, под его графическим изображением, симметрично вертикальной оси, с высотой бу</w:t>
      </w:r>
      <w:r>
        <w:rPr>
          <w:rFonts w:ascii="Times New Roman" w:hAnsi="Times New Roman" w:cs="Times New Roman"/>
          <w:color w:val="000000" w:themeColor="text1"/>
          <w:sz w:val="24"/>
          <w:szCs w:val="24"/>
          <w:lang w:val="ru-RU"/>
        </w:rPr>
        <w:t>кв (цифр) до 15% высоты  знака.</w:t>
      </w:r>
    </w:p>
    <w:p w:rsidR="00FB68EE" w:rsidRPr="00FB68EE" w:rsidRDefault="00FB68EE" w:rsidP="00FB68EE">
      <w:pPr>
        <w:tabs>
          <w:tab w:val="left" w:pos="993"/>
        </w:tabs>
        <w:autoSpaceDE w:val="0"/>
        <w:autoSpaceDN w:val="0"/>
        <w:adjustRightInd w:val="0"/>
        <w:spacing w:before="120" w:afterLines="6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tab/>
      </w:r>
      <w:r w:rsidRPr="00FB68EE">
        <w:rPr>
          <w:rFonts w:ascii="Times New Roman" w:hAnsi="Times New Roman" w:cs="Times New Roman"/>
          <w:color w:val="000000" w:themeColor="text1"/>
          <w:sz w:val="24"/>
          <w:szCs w:val="24"/>
          <w:lang w:val="ru-RU"/>
        </w:rPr>
        <w:t>10. Национальнуюмаркусоответствия SM и идентификационный номер уполномоченного органа по оценке соответствия наносит производитель или его  представитель.</w:t>
      </w:r>
    </w:p>
    <w:p w:rsidR="00FB68EE" w:rsidRPr="00FB68EE" w:rsidRDefault="00FB68EE" w:rsidP="00FB68EE">
      <w:pPr>
        <w:tabs>
          <w:tab w:val="left" w:pos="993"/>
        </w:tabs>
        <w:autoSpaceDE w:val="0"/>
        <w:autoSpaceDN w:val="0"/>
        <w:adjustRightInd w:val="0"/>
        <w:spacing w:before="120" w:afterLines="6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lastRenderedPageBreak/>
        <w:tab/>
      </w:r>
      <w:r w:rsidRPr="00FB68EE">
        <w:rPr>
          <w:rFonts w:ascii="Times New Roman" w:hAnsi="Times New Roman" w:cs="Times New Roman"/>
          <w:color w:val="000000" w:themeColor="text1"/>
          <w:sz w:val="24"/>
          <w:szCs w:val="24"/>
          <w:lang w:val="ru-RU"/>
        </w:rPr>
        <w:t>11. Национальнаямарка соответствия SM используется производителем или его представителем бесплатно.</w:t>
      </w:r>
    </w:p>
    <w:p w:rsidR="00FB68EE" w:rsidRPr="00FB68EE" w:rsidRDefault="00FB68EE" w:rsidP="00FB68EE">
      <w:pPr>
        <w:tabs>
          <w:tab w:val="left" w:pos="993"/>
        </w:tabs>
        <w:autoSpaceDE w:val="0"/>
        <w:autoSpaceDN w:val="0"/>
        <w:adjustRightInd w:val="0"/>
        <w:spacing w:before="120" w:afterLines="6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tab/>
      </w:r>
      <w:r w:rsidRPr="00FB68EE">
        <w:rPr>
          <w:rFonts w:ascii="Times New Roman" w:hAnsi="Times New Roman" w:cs="Times New Roman"/>
          <w:color w:val="000000" w:themeColor="text1"/>
          <w:sz w:val="24"/>
          <w:szCs w:val="24"/>
          <w:lang w:val="ru-RU"/>
        </w:rPr>
        <w:t>12. На один вид изделия одновременно с национальным знаком соответствия SM могут быть нанесены другие знаки (например, указывающие соответствие национальным или европейским стандартам или другим техническим регламентам) при условии, что эти марки  невозможно спутать с национальноймаркой соответствия SM. Другие марки могут наноситься при условии, что они не ухудшат видимость и четкость национального знака соответствия SM.</w:t>
      </w:r>
    </w:p>
    <w:p w:rsidR="00FB68EE" w:rsidRPr="00FB68EE" w:rsidRDefault="00FB68EE" w:rsidP="00FB68EE">
      <w:pPr>
        <w:tabs>
          <w:tab w:val="left" w:pos="993"/>
        </w:tabs>
        <w:autoSpaceDE w:val="0"/>
        <w:autoSpaceDN w:val="0"/>
        <w:adjustRightInd w:val="0"/>
        <w:spacing w:before="120" w:afterLines="6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tab/>
      </w:r>
      <w:r w:rsidRPr="00FB68EE">
        <w:rPr>
          <w:rFonts w:ascii="Times New Roman" w:hAnsi="Times New Roman" w:cs="Times New Roman"/>
          <w:color w:val="000000" w:themeColor="text1"/>
          <w:sz w:val="24"/>
          <w:szCs w:val="24"/>
          <w:lang w:val="ru-RU"/>
        </w:rPr>
        <w:t>13. Если орган надзора и контроля устанавливает, что национальнаямарка соответствия SM применяется неправильно, производитель или его  представитель, или (в исключительных случаях, если применяемый технический регламент это предусматривает) лицо, ответственное за размещение продукции на рынке, обязан(о) устранить несоответствие.</w:t>
      </w:r>
    </w:p>
    <w:p w:rsidR="00FB68EE" w:rsidRPr="00FB68EE" w:rsidRDefault="00FB68EE" w:rsidP="00FB68EE">
      <w:pPr>
        <w:tabs>
          <w:tab w:val="left" w:pos="993"/>
        </w:tabs>
        <w:autoSpaceDE w:val="0"/>
        <w:autoSpaceDN w:val="0"/>
        <w:adjustRightInd w:val="0"/>
        <w:spacing w:before="120" w:afterLines="6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tab/>
      </w:r>
      <w:r w:rsidRPr="00FB68EE">
        <w:rPr>
          <w:rFonts w:ascii="Times New Roman" w:hAnsi="Times New Roman" w:cs="Times New Roman"/>
          <w:color w:val="000000" w:themeColor="text1"/>
          <w:sz w:val="24"/>
          <w:szCs w:val="24"/>
          <w:lang w:val="ru-RU"/>
        </w:rPr>
        <w:t>14. Если несоответствие не устранено, орган надзора и контроля ограничивает или запрещаетразмещение под любым видом  соответствующего продукта или обеспечивает отзыв его с рынка, в соответствии с положениями действующего законодательства.</w:t>
      </w:r>
    </w:p>
    <w:p w:rsidR="00012B7E" w:rsidRPr="00FB68EE" w:rsidRDefault="00012B7E" w:rsidP="00FB68EE">
      <w:pPr>
        <w:jc w:val="both"/>
        <w:rPr>
          <w:rFonts w:ascii="Times New Roman" w:hAnsi="Times New Roman" w:cs="Times New Roman"/>
          <w:sz w:val="24"/>
          <w:szCs w:val="24"/>
          <w:lang w:val="ru-RU"/>
        </w:rPr>
      </w:pPr>
    </w:p>
    <w:sectPr w:rsidR="00012B7E" w:rsidRPr="00FB68EE" w:rsidSect="00FB68EE">
      <w:pgSz w:w="12240" w:h="15840"/>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62F87"/>
    <w:multiLevelType w:val="hybridMultilevel"/>
    <w:tmpl w:val="5378A9B2"/>
    <w:lvl w:ilvl="0" w:tplc="5D641830">
      <w:start w:val="1"/>
      <w:numFmt w:val="decimal"/>
      <w:lvlText w:val="%1."/>
      <w:lvlJc w:val="left"/>
      <w:pPr>
        <w:ind w:left="1969" w:hanging="12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FB68EE"/>
    <w:rsid w:val="00012B7E"/>
    <w:rsid w:val="00FB68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8EE"/>
    <w:pPr>
      <w:spacing w:after="0" w:line="240" w:lineRule="auto"/>
      <w:ind w:left="720" w:firstLine="709"/>
      <w:contextualSpacing/>
      <w:jc w:val="both"/>
    </w:pPr>
    <w:rPr>
      <w:rFonts w:ascii="Times New Roman" w:eastAsia="Times New Roman" w:hAnsi="Times New Roman" w:cs="Times New Roman"/>
      <w:color w:val="000000"/>
      <w:sz w:val="28"/>
      <w:szCs w:val="28"/>
    </w:rPr>
  </w:style>
  <w:style w:type="paragraph" w:styleId="BalloonText">
    <w:name w:val="Balloon Text"/>
    <w:basedOn w:val="Normal"/>
    <w:link w:val="BalloonTextChar"/>
    <w:uiPriority w:val="99"/>
    <w:semiHidden/>
    <w:unhideWhenUsed/>
    <w:rsid w:val="00FB6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8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545</Words>
  <Characters>3111</Characters>
  <Application>Microsoft Office Word</Application>
  <DocSecurity>0</DocSecurity>
  <Lines>25</Lines>
  <Paragraphs>7</Paragraphs>
  <ScaleCrop>false</ScaleCrop>
  <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cij</dc:creator>
  <cp:keywords/>
  <dc:description/>
  <cp:lastModifiedBy>cij</cp:lastModifiedBy>
  <cp:revision>2</cp:revision>
  <dcterms:created xsi:type="dcterms:W3CDTF">2014-06-13T12:21:00Z</dcterms:created>
  <dcterms:modified xsi:type="dcterms:W3CDTF">2014-06-13T12:24:00Z</dcterms:modified>
</cp:coreProperties>
</file>